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D00933">
        <w:rPr>
          <w:sz w:val="28"/>
        </w:rPr>
        <w:t>844-2203</w:t>
      </w:r>
      <w:r>
        <w:rPr>
          <w:sz w:val="28"/>
        </w:rPr>
        <w:t>/202</w:t>
      </w:r>
      <w:r w:rsidR="00115238">
        <w:rPr>
          <w:sz w:val="28"/>
        </w:rPr>
        <w:t>4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>УИД</w:t>
      </w:r>
      <w:r w:rsidR="00477846">
        <w:rPr>
          <w:sz w:val="28"/>
        </w:rPr>
        <w:t xml:space="preserve"> </w:t>
      </w:r>
      <w:r w:rsidR="00D376C6">
        <w:rPr>
          <w:sz w:val="28"/>
        </w:rPr>
        <w:t>*</w:t>
      </w:r>
      <w:r>
        <w:rPr>
          <w:sz w:val="28"/>
        </w:rPr>
        <w:t xml:space="preserve"> 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05 августа</w:t>
      </w:r>
      <w:r w:rsidR="00115238">
        <w:rPr>
          <w:sz w:val="28"/>
        </w:rPr>
        <w:t xml:space="preserve"> 2024</w:t>
      </w:r>
      <w:r w:rsidR="00FC0FD7">
        <w:rPr>
          <w:sz w:val="28"/>
        </w:rPr>
        <w:t xml:space="preserve"> года   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г.Нягань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D00933" w:rsidRPr="00D00933" w:rsidP="00D00933">
      <w:pPr>
        <w:ind w:right="-2" w:firstLine="708"/>
        <w:jc w:val="both"/>
        <w:rPr>
          <w:sz w:val="28"/>
        </w:rPr>
      </w:pPr>
      <w:r w:rsidRPr="00D00933"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Л.Г.Волкова, исполняя обязанности мирового судьи судебного участка № 3 Няганского судебного района Ханты-Мансийского автономного округа – Югры,</w:t>
      </w:r>
    </w:p>
    <w:p w:rsidR="00E53918" w:rsidP="00A33BB1">
      <w:pPr>
        <w:ind w:right="-2" w:firstLine="708"/>
        <w:jc w:val="both"/>
        <w:rPr>
          <w:sz w:val="28"/>
        </w:rPr>
      </w:pPr>
      <w:r w:rsidRPr="00D00933">
        <w:rPr>
          <w:sz w:val="28"/>
        </w:rPr>
        <w:t xml:space="preserve">рассмотрев дело об административном правонарушении в отношении  Фоменко Игоря Михайловича, </w:t>
      </w:r>
      <w:r w:rsidR="00D376C6">
        <w:rPr>
          <w:sz w:val="28"/>
        </w:rPr>
        <w:t>*</w:t>
      </w:r>
      <w:r w:rsidRPr="00D00933">
        <w:rPr>
          <w:sz w:val="28"/>
        </w:rPr>
        <w:t xml:space="preserve"> года рождения, уроженца </w:t>
      </w:r>
      <w:r w:rsidR="00D376C6">
        <w:rPr>
          <w:sz w:val="28"/>
        </w:rPr>
        <w:t>*</w:t>
      </w:r>
      <w:r w:rsidRPr="00D00933">
        <w:rPr>
          <w:sz w:val="28"/>
        </w:rPr>
        <w:t xml:space="preserve">, гражданина РФ, паспорт </w:t>
      </w:r>
      <w:r w:rsidR="00D376C6">
        <w:rPr>
          <w:sz w:val="28"/>
        </w:rPr>
        <w:t>*</w:t>
      </w:r>
      <w:r w:rsidRPr="00D00933">
        <w:rPr>
          <w:sz w:val="28"/>
        </w:rPr>
        <w:t xml:space="preserve">, работающего </w:t>
      </w:r>
      <w:r w:rsidR="00D376C6">
        <w:rPr>
          <w:sz w:val="28"/>
        </w:rPr>
        <w:t>*</w:t>
      </w:r>
      <w:r w:rsidRPr="00D00933">
        <w:rPr>
          <w:sz w:val="28"/>
        </w:rPr>
        <w:t xml:space="preserve"> общества с ограниченной ответственностью «</w:t>
      </w:r>
      <w:r w:rsidR="00D376C6">
        <w:rPr>
          <w:sz w:val="28"/>
        </w:rPr>
        <w:t>*</w:t>
      </w:r>
      <w:r w:rsidRPr="00D00933">
        <w:rPr>
          <w:sz w:val="28"/>
        </w:rPr>
        <w:t xml:space="preserve">», проживающего по адресу: </w:t>
      </w:r>
      <w:r w:rsidR="00D376C6">
        <w:rPr>
          <w:sz w:val="28"/>
        </w:rPr>
        <w:t>*</w:t>
      </w:r>
      <w:r w:rsidRPr="00D00933"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115238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Pr="00D00933" w:rsidR="00D00933">
        <w:rPr>
          <w:spacing w:val="-2"/>
          <w:sz w:val="28"/>
        </w:rPr>
        <w:t xml:space="preserve">Фоменко И.М., являясь должностным лицом –  </w:t>
      </w:r>
      <w:r w:rsidR="00D376C6">
        <w:rPr>
          <w:spacing w:val="-2"/>
          <w:sz w:val="28"/>
        </w:rPr>
        <w:t>*</w:t>
      </w:r>
      <w:r w:rsidRPr="00D00933" w:rsidR="00D00933">
        <w:rPr>
          <w:spacing w:val="-2"/>
          <w:sz w:val="28"/>
        </w:rPr>
        <w:t xml:space="preserve"> общества с ограниченной ответственностью «</w:t>
      </w:r>
      <w:r w:rsidR="00D376C6">
        <w:rPr>
          <w:spacing w:val="-2"/>
          <w:sz w:val="28"/>
        </w:rPr>
        <w:t>*</w:t>
      </w:r>
      <w:r w:rsidRPr="00D00933" w:rsidR="00D00933">
        <w:rPr>
          <w:spacing w:val="-2"/>
          <w:sz w:val="28"/>
        </w:rPr>
        <w:t xml:space="preserve">», зарегистрированного по адресу: </w:t>
      </w:r>
      <w:r w:rsidR="00D376C6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115238">
        <w:rPr>
          <w:sz w:val="28"/>
        </w:rPr>
        <w:t>4 квартал</w:t>
      </w:r>
      <w:r>
        <w:rPr>
          <w:sz w:val="28"/>
        </w:rPr>
        <w:t xml:space="preserve"> 2023 года. </w:t>
      </w:r>
    </w:p>
    <w:p w:rsidR="00D00933" w:rsidRPr="00D00933" w:rsidP="00D00933">
      <w:pPr>
        <w:ind w:firstLine="720"/>
        <w:jc w:val="both"/>
        <w:rPr>
          <w:sz w:val="28"/>
        </w:rPr>
      </w:pPr>
      <w:r w:rsidRPr="00D00933">
        <w:rPr>
          <w:sz w:val="28"/>
        </w:rPr>
        <w:t>Должностное лицо Фоменко И.М., о дне, времени и месте рассмотрения дела извещался судебными повестками, направленными в его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D00933" w:rsidRPr="00D00933" w:rsidP="00D00933">
      <w:pPr>
        <w:ind w:firstLine="720"/>
        <w:jc w:val="both"/>
        <w:rPr>
          <w:sz w:val="28"/>
        </w:rPr>
      </w:pPr>
      <w:r w:rsidRPr="00D00933">
        <w:rPr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D00933">
        <w:rPr>
          <w:sz w:val="28"/>
        </w:rPr>
        <w:t>отправлений разряда "Судебное", утвержденных приказом ФГУП "Почта России" от 31 августа 2005 года N 343.</w:t>
      </w:r>
    </w:p>
    <w:p w:rsidR="00E53918" w:rsidP="00D00933">
      <w:pPr>
        <w:ind w:firstLine="720"/>
        <w:jc w:val="both"/>
        <w:rPr>
          <w:sz w:val="28"/>
        </w:rPr>
      </w:pPr>
      <w:r w:rsidRPr="00D00933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Фоменко И.М.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D00933">
        <w:rPr>
          <w:sz w:val="28"/>
        </w:rPr>
        <w:t>Фоменко И.М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115238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D376C6">
        <w:rPr>
          <w:sz w:val="28"/>
          <w:szCs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115238">
        <w:rPr>
          <w:color w:val="FF0000"/>
          <w:sz w:val="28"/>
        </w:rPr>
        <w:t>января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115238">
        <w:rPr>
          <w:sz w:val="28"/>
        </w:rPr>
        <w:t>4 квартал</w:t>
      </w:r>
      <w:r>
        <w:rPr>
          <w:sz w:val="28"/>
        </w:rPr>
        <w:t xml:space="preserve"> 2023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D376C6">
        <w:rPr>
          <w:sz w:val="28"/>
        </w:rPr>
        <w:t>*</w:t>
      </w:r>
      <w:r w:rsidR="003A3A0B">
        <w:rPr>
          <w:sz w:val="28"/>
        </w:rPr>
        <w:t xml:space="preserve"> ООО «</w:t>
      </w:r>
      <w:r w:rsidR="00D376C6">
        <w:rPr>
          <w:sz w:val="28"/>
          <w:szCs w:val="28"/>
        </w:rPr>
        <w:t>*</w:t>
      </w:r>
      <w:r>
        <w:rPr>
          <w:sz w:val="28"/>
        </w:rPr>
        <w:t xml:space="preserve">» является </w:t>
      </w:r>
      <w:r w:rsidR="00D00933">
        <w:rPr>
          <w:sz w:val="28"/>
        </w:rPr>
        <w:t>Фоменко И.М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D00933">
        <w:rPr>
          <w:sz w:val="28"/>
        </w:rPr>
        <w:t>Фоменко И.М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D00933">
        <w:rPr>
          <w:sz w:val="28"/>
        </w:rPr>
        <w:t>Фоменко И.М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115238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D00933">
        <w:rPr>
          <w:sz w:val="28"/>
        </w:rPr>
        <w:t>Фоменко И.М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совершении правонарушения, предусмотренного статьей 15.5 Кодекса Российской Федерации об </w:t>
      </w:r>
      <w:r>
        <w:rPr>
          <w:sz w:val="28"/>
        </w:rPr>
        <w:t>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D376C6">
        <w:rPr>
          <w:sz w:val="28"/>
        </w:rPr>
        <w:t>*</w:t>
      </w:r>
      <w:r>
        <w:rPr>
          <w:sz w:val="28"/>
        </w:rPr>
        <w:t xml:space="preserve"> от                </w:t>
      </w:r>
      <w:r w:rsidR="00115238">
        <w:rPr>
          <w:sz w:val="28"/>
        </w:rPr>
        <w:t>23 мая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D00933">
        <w:rPr>
          <w:spacing w:val="-1"/>
          <w:sz w:val="28"/>
        </w:rPr>
        <w:t>Фоменко И.М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D376C6">
        <w:rPr>
          <w:sz w:val="28"/>
          <w:szCs w:val="28"/>
        </w:rPr>
        <w:t>*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115238">
        <w:rPr>
          <w:sz w:val="28"/>
        </w:rPr>
        <w:t>4 квартал</w:t>
      </w:r>
      <w:r w:rsidR="00FC0FD7">
        <w:rPr>
          <w:sz w:val="28"/>
        </w:rPr>
        <w:t xml:space="preserve"> 2023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00933">
        <w:rPr>
          <w:sz w:val="28"/>
        </w:rPr>
        <w:t>Фоменко И.М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D00933">
        <w:rPr>
          <w:sz w:val="28"/>
        </w:rPr>
        <w:t>Фоменко И.М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A3235E" w:rsidR="00D00933">
        <w:rPr>
          <w:sz w:val="28"/>
          <w:szCs w:val="28"/>
        </w:rPr>
        <w:t>Фоменко Игоря Михайловича</w:t>
      </w:r>
      <w:r w:rsidR="00D00933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D0093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A33BB1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D376C6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115238"/>
    <w:rsid w:val="003872A0"/>
    <w:rsid w:val="00395F06"/>
    <w:rsid w:val="003A3A0B"/>
    <w:rsid w:val="00477846"/>
    <w:rsid w:val="00486502"/>
    <w:rsid w:val="005008B0"/>
    <w:rsid w:val="0081729C"/>
    <w:rsid w:val="00A3235E"/>
    <w:rsid w:val="00A33BB1"/>
    <w:rsid w:val="00A618F3"/>
    <w:rsid w:val="00BA1209"/>
    <w:rsid w:val="00C04F97"/>
    <w:rsid w:val="00D00933"/>
    <w:rsid w:val="00D376C6"/>
    <w:rsid w:val="00E53918"/>
    <w:rsid w:val="00EC642F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E85A98-9B73-48E7-A405-098F1B4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